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Краснодарский край Калининский район ст. Новониколаевская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Муниципальное общеобразовательное учреждение –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средняя общеобразовательная школа №12</w:t>
      </w:r>
    </w:p>
    <w:p>
      <w:pPr>
        <w:pStyle w:val="Normal"/>
        <w:shd w:val="clear" w:color="auto" w:fill="FFFFFF"/>
        <w:spacing w:lineRule="auto" w:line="240" w:before="0" w:after="0"/>
        <w:ind w:left="496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4962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педсовета протокол</w:t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 от 28 августа 2015   года</w:t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педсовета</w:t>
      </w:r>
    </w:p>
    <w:p>
      <w:pPr>
        <w:pStyle w:val="Normal"/>
        <w:shd w:val="clear" w:color="auto" w:fill="FFFFFF"/>
        <w:spacing w:lineRule="auto" w:line="240" w:before="0" w:after="0"/>
        <w:ind w:left="576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_____________     Н.В.Лихачева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3"/>
        <w:spacing w:lineRule="auto" w:line="240" w:before="0" w:after="200"/>
        <w:jc w:val="center"/>
        <w:rPr>
          <w:rFonts w:ascii="Times New Roman" w:hAnsi="Times New Roman"/>
          <w:i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РАБОЧАЯ  ПРОГРАММА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 геометрии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Уровень образования: </w:t>
      </w:r>
      <w:r>
        <w:rPr>
          <w:rFonts w:ascii="Times New Roman" w:hAnsi="Times New Roman"/>
          <w:b/>
          <w:sz w:val="24"/>
          <w:szCs w:val="24"/>
          <w:u w:val="single"/>
        </w:rPr>
        <w:t>Основное общее образование</w:t>
      </w:r>
      <w:r>
        <w:rPr>
          <w:rFonts w:ascii="Times New Roman" w:hAnsi="Times New Roman"/>
          <w:b/>
          <w:sz w:val="24"/>
          <w:szCs w:val="24"/>
        </w:rPr>
        <w:t xml:space="preserve"> , </w:t>
      </w:r>
      <w:r>
        <w:rPr>
          <w:rFonts w:ascii="Times New Roman" w:hAnsi="Times New Roman"/>
          <w:b/>
          <w:sz w:val="24"/>
          <w:szCs w:val="24"/>
          <w:u w:val="single"/>
        </w:rPr>
        <w:t>7-9  класс  (ФГОС)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Количество часов  </w:t>
      </w:r>
      <w:r>
        <w:rPr>
          <w:rFonts w:ascii="Times New Roman" w:hAnsi="Times New Roman"/>
          <w:b/>
          <w:sz w:val="24"/>
          <w:szCs w:val="24"/>
          <w:u w:val="single"/>
        </w:rPr>
        <w:t>204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Учитель   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Шаповал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Юлия Ивановна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на основе   Программы общеобразовательных учреждений Геометрия 7-9 / Т.А. Бурмистрова </w:t>
      </w:r>
      <w:r>
        <w:rPr>
          <w:rFonts w:ascii="Times New Roman" w:hAnsi="Times New Roman"/>
          <w:sz w:val="24"/>
          <w:szCs w:val="24"/>
          <w:u w:val="single"/>
        </w:rPr>
        <w:t>– 2-е издание, доработанное  М.: Просвешение, 2014.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center"/>
        <w:rPr>
          <w:rFonts w:ascii="Times New Roman" w:hAnsi="Times New Roman"/>
          <w:color w:val="00000A"/>
          <w:sz w:val="24"/>
          <w:szCs w:val="24"/>
        </w:rPr>
      </w:pPr>
      <w:bookmarkStart w:id="0" w:name="_Toc365134974"/>
      <w:bookmarkStart w:id="1" w:name="_Toc337904933"/>
      <w:bookmarkStart w:id="2" w:name="_Toc365134974"/>
      <w:bookmarkStart w:id="3" w:name="_Toc337904933"/>
      <w:bookmarkEnd w:id="3"/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lineRule="auto" w:line="240" w:before="0" w:after="200"/>
        <w:jc w:val="center"/>
        <w:rPr>
          <w:rFonts w:ascii="Times New Roman" w:hAnsi="Times New Roman"/>
          <w:color w:val="00000A"/>
          <w:sz w:val="24"/>
          <w:szCs w:val="24"/>
        </w:rPr>
      </w:pPr>
      <w:bookmarkStart w:id="4" w:name="_Toc365134974"/>
      <w:bookmarkEnd w:id="4"/>
      <w:r>
        <w:rPr>
          <w:rFonts w:ascii="Times New Roman" w:hAnsi="Times New Roman"/>
          <w:color w:val="00000A"/>
          <w:sz w:val="24"/>
          <w:szCs w:val="24"/>
        </w:rPr>
        <w:t>Пояснительная записка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bookmarkStart w:id="5" w:name="_Toc365134977"/>
      <w:bookmarkStart w:id="6" w:name="_Toc337904936"/>
      <w:bookmarkStart w:id="7" w:name="_Toc337904934"/>
      <w:bookmarkEnd w:id="6"/>
      <w:bookmarkEnd w:id="7"/>
      <w:r>
        <w:rPr/>
        <w:t>Рабочая программа по алгебре 7-9 составлена на основе: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Закона «Об образовании в Российской Федерации» от 29.12.2012 года № 273-ФЗ;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Федерального компонента государственного образовательного стандарта основного общего образования по математике, утвержденного 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Примерной программы основного общего образования по математике, составитель: Т.А. Бурмистрова. – М.: Просвещение, 2014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программы по алгебре авторов: Ю.Н. Макарычев, Н.Г. Миндюк, К.И. Нешков, С.Б. Суворова для 7-9 класса;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2017-2018 г.;</w:t>
      </w:r>
    </w:p>
    <w:p>
      <w:pPr>
        <w:pStyle w:val="NormalWeb"/>
        <w:numPr>
          <w:ilvl w:val="0"/>
          <w:numId w:val="1"/>
        </w:numPr>
        <w:spacing w:lineRule="auto" w:line="276" w:before="0" w:after="0"/>
        <w:rPr/>
      </w:pPr>
      <w:r>
        <w:rPr/>
        <w:t>- основной образовательной программы муниципального бюджетного общеобразовательного учреждения «СШ №2»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обучающимися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Требуя от обучающихся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Геометрия существенно расширяет кругозор обучающихся,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 обучении геометрии формируются умения и навыки умственного труда —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Важнейшей задачей школьного курса геометрии является развитие логического мышления обучающихся.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обучающихся. Её изучение развивает воображение школьников, существенно обогащает и развивает их пространственные представления. </w:t>
      </w:r>
    </w:p>
    <w:p>
      <w:pPr>
        <w:pStyle w:val="Normal"/>
        <w:spacing w:lineRule="auto" w:line="240" w:before="0" w:after="0"/>
        <w:ind w:firstLine="284"/>
        <w:jc w:val="both"/>
        <w:rPr>
          <w:rFonts w:ascii="NewtonCSanPin-Regular" w:hAnsi="NewtonCSanPin-Regular" w:cs="NewtonCSanPin-Regula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1"/>
        <w:spacing w:lineRule="auto" w:line="240"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8" w:name="_Toc365134977"/>
      <w:r>
        <w:rPr>
          <w:rFonts w:cs="Times New Roman" w:ascii="Times New Roman" w:hAnsi="Times New Roman"/>
          <w:color w:val="00000A"/>
          <w:sz w:val="24"/>
          <w:szCs w:val="24"/>
        </w:rPr>
        <w:t xml:space="preserve">Общая характеристика </w:t>
      </w:r>
      <w:bookmarkEnd w:id="8"/>
      <w:r>
        <w:rPr>
          <w:rFonts w:cs="Times New Roman" w:ascii="Times New Roman" w:hAnsi="Times New Roman"/>
          <w:color w:val="00000A"/>
          <w:sz w:val="24"/>
          <w:szCs w:val="24"/>
        </w:rPr>
        <w:t>предмета учебного предмета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365134979"/>
      <w:r>
        <w:rPr>
          <w:rFonts w:cs="Times New Roman" w:ascii="Times New Roman" w:hAnsi="Times New Roman"/>
          <w:sz w:val="24"/>
          <w:szCs w:val="24"/>
        </w:rPr>
        <w:t>В 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Материал, относящийся к линии «Наглядная геометрия» (элементы наглядной стереометрии) способствует развитию пространственных представлений обучающихся в рамках изучения планиметрии.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Материал, относящийся к содержательным линиям «Координаты» и «Векторы»,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обучающихся, формирование у них умения точно, сжато и ясно излагать мысли в устной и письменной речи.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bookmarkStart w:id="10" w:name="_Toc365134979"/>
      <w:r>
        <w:rPr>
          <w:rFonts w:ascii="Times New Roman" w:hAnsi="Times New Roman"/>
          <w:b/>
          <w:sz w:val="24"/>
          <w:szCs w:val="24"/>
        </w:rPr>
        <w:t>Описание места предмета геометрии 7-9 класс в учебном плане</w:t>
      </w:r>
      <w:bookmarkEnd w:id="10"/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13"/>
        <w:spacing w:before="0" w:after="0"/>
        <w:ind w:firstLine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pacing w:val="-15"/>
        </w:rPr>
        <w:t>На изучение предмета по программе  «</w:t>
      </w:r>
      <w:r>
        <w:rPr>
          <w:rFonts w:cs="Times New Roman"/>
          <w:color w:val="000000"/>
        </w:rPr>
        <w:t xml:space="preserve">Программы общеобразовательных учреждений Геометрия 7-9 / Т.А. Бурмистрова </w:t>
      </w:r>
      <w:r>
        <w:rPr>
          <w:rFonts w:cs="Times New Roman"/>
        </w:rPr>
        <w:t xml:space="preserve">– М.: Просвещение, 2014» </w:t>
      </w:r>
      <w:r>
        <w:rPr>
          <w:rFonts w:cs="Times New Roman"/>
          <w:color w:val="000000"/>
          <w:spacing w:val="-15"/>
        </w:rPr>
        <w:t xml:space="preserve">в 7 - </w:t>
      </w:r>
      <w:r>
        <w:rPr>
          <w:rFonts w:cs="Times New Roman"/>
          <w:color w:val="000000"/>
        </w:rPr>
        <w:t>8-9 классах</w:t>
      </w:r>
      <w:r>
        <w:rPr>
          <w:rFonts w:cs="Times New Roman"/>
        </w:rPr>
        <w:t xml:space="preserve"> 2 учебных часа в неделю (</w:t>
      </w:r>
      <w:r>
        <w:rPr>
          <w:rFonts w:cs="Times New Roman"/>
          <w:color w:val="000000"/>
        </w:rPr>
        <w:t>всего 68 часов в год</w:t>
      </w:r>
      <w:r>
        <w:rPr>
          <w:rFonts w:cs="Times New Roman"/>
        </w:rPr>
        <w:t>) в течение каждого года обучения, всего  204 урока.</w:t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bookmarkStart w:id="11" w:name="_Toc337904937"/>
      <w:bookmarkStart w:id="12" w:name="_Toc337904937"/>
      <w:bookmarkEnd w:id="12"/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1"/>
        <w:shd w:val="clear" w:color="auto" w:fill="auto"/>
        <w:spacing w:lineRule="auto" w:line="240"/>
        <w:ind w:firstLine="360"/>
        <w:jc w:val="center"/>
        <w:rPr>
          <w:rStyle w:val="22"/>
          <w:rFonts w:ascii="Times New Roman" w:hAnsi="Times New Roman"/>
          <w:b/>
          <w:b/>
          <w:sz w:val="24"/>
          <w:szCs w:val="24"/>
        </w:rPr>
      </w:pPr>
      <w:r>
        <w:rPr>
          <w:rStyle w:val="22"/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предмета  геометрии 7-9  класс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личностные: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6) креативность мышления, инициативу, находчивость, активность при решении геометрических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7) умение контролировать процесс и результат учебной математической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8) способность к эмоциональному восприятию математических объектов, задач, решений, рассуждений;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метапредметные: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8) 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Verdana"/>
          <w:b/>
          <w:b/>
          <w:iCs/>
          <w:sz w:val="24"/>
          <w:szCs w:val="24"/>
          <w:highlight w:val="white"/>
        </w:rPr>
      </w:pPr>
      <w:r>
        <w:rPr>
          <w:rStyle w:val="23"/>
          <w:rFonts w:ascii="Times New Roman" w:hAnsi="Times New Roman"/>
          <w:b/>
          <w:i w:val="false"/>
          <w:sz w:val="24"/>
          <w:szCs w:val="24"/>
        </w:rPr>
        <w:t>Содержание предмета геометрии  7-9 класс.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Наглядная геометрия. </w:t>
      </w:r>
      <w:r>
        <w:rPr>
          <w:rFonts w:cs="Times New Roman"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Геометрические фигуры.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Геометрическое место точек. Свойства биссектрисы угла и серединного перпендикуляра к отрезку.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Треугольник.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</w:t>
      </w:r>
      <w:r>
        <w:rPr>
          <w:rFonts w:eastAsia="SymbolMat" w:cs="Times New Roman" w:ascii="Times New Roman" w:hAnsi="Times New Roman"/>
          <w:color w:val="000000"/>
          <w:sz w:val="24"/>
          <w:szCs w:val="24"/>
        </w:rPr>
        <w:t>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Четырёхугольник.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Многоугольник.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Выпуклые многоугольники. Сумма углов выпуклого многоугольника. Правильные многоугольники.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Окружность и круг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n </w:t>
      </w:r>
      <w:r>
        <w:rPr>
          <w:rFonts w:cs="Times New Roman" w:ascii="Times New Roman" w:hAnsi="Times New Roman"/>
          <w:color w:val="000000"/>
          <w:sz w:val="24"/>
          <w:szCs w:val="24"/>
        </w:rPr>
        <w:t>равных частей. Решение задач на вычисление, доказательство и построение с использованием свойств изученных фигур.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Длина отрезка. Расстояние от точки до прямой. Расстояние между параллельными прямыми. Периметр многоугольника. Длина окружности, число </w:t>
      </w:r>
      <w:r>
        <w:rPr>
          <w:rFonts w:eastAsia="SymbolMat" w:cs="Times New Roman" w:ascii="Times New Roman" w:hAnsi="Times New Roman"/>
          <w:color w:val="000000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; длина дуги окружности. Градусная мера угла, соответствие между величиной центрального угла и длиной дуги окружности. 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 Решение задач на вычисление и доказательство с использованием изученных формул.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Координаты. </w:t>
      </w:r>
      <w:r>
        <w:rPr>
          <w:rFonts w:cs="Times New Roman" w:ascii="Times New Roman" w:hAnsi="Times New Roman"/>
          <w:color w:val="000000"/>
          <w:sz w:val="24"/>
          <w:szCs w:val="24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Векторы. </w:t>
      </w:r>
      <w:r>
        <w:rPr>
          <w:rFonts w:cs="Times New Roman" w:ascii="Times New Roman" w:hAnsi="Times New Roman"/>
          <w:color w:val="000000"/>
          <w:sz w:val="24"/>
          <w:szCs w:val="24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Теоретико-множественные понятия. </w:t>
      </w:r>
      <w:r>
        <w:rPr>
          <w:rFonts w:cs="Times New Roman" w:ascii="Times New Roman" w:hAnsi="Times New Roman"/>
          <w:color w:val="000000"/>
          <w:sz w:val="24"/>
          <w:szCs w:val="24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Элементы логики.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Определение. Аксиомы и теоремы. Доказательство. Доказательство от противного. Теорема, обратная данной. Пример и контрпример. Понятие о равносильности, следовании, употребление логических связок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если ...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то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...,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в том и только в том случае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логические связки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или.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9A9A9A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>
        <w:rPr>
          <w:rFonts w:cs="Times New Roman" w:ascii="Times New Roman" w:hAnsi="Times New Roman"/>
          <w:color w:val="000000"/>
          <w:sz w:val="24"/>
          <w:szCs w:val="24"/>
        </w:rPr>
        <w:t>От землемерия к</w:t>
      </w:r>
      <w:r>
        <w:rPr>
          <w:rFonts w:cs="Times New Roman" w:ascii="Times New Roman" w:hAnsi="Times New Roman"/>
          <w:b/>
          <w:bCs/>
          <w:color w:val="9A9A9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>
        <w:rPr>
          <w:rFonts w:eastAsia="SymbolMat" w:cs="Times New Roman" w:ascii="Times New Roman" w:hAnsi="Times New Roman"/>
          <w:color w:val="000000"/>
          <w:sz w:val="24"/>
          <w:szCs w:val="24"/>
        </w:rPr>
        <w:t>π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Золотое сечение «Начала» Евклида. Л. Эйлер. Н. И. Лобачевский. История пятого постулата.</w:t>
      </w:r>
      <w:r>
        <w:rPr>
          <w:rFonts w:cs="Times New Roman" w:ascii="Times New Roman" w:hAnsi="Times New Roman"/>
          <w:b/>
          <w:bCs/>
          <w:color w:val="9A9A9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Изобретение метода координат, позволяющего переводить</w:t>
      </w:r>
      <w:r>
        <w:rPr>
          <w:rFonts w:cs="Times New Roman" w:ascii="Times New Roman" w:hAnsi="Times New Roman"/>
          <w:b/>
          <w:bCs/>
          <w:color w:val="9A9A9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геометрические объекты на язык алгебры. Р. Декарт и П. Ферма.</w:t>
      </w:r>
      <w:r>
        <w:rPr>
          <w:rFonts w:cs="Times New Roman" w:ascii="Times New Roman" w:hAnsi="Times New Roman"/>
          <w:b/>
          <w:bCs/>
          <w:color w:val="9A9A9A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Примеры различных систем координат на плоскости.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 тематического  распределения  количества  часов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класс</w:t>
      </w:r>
    </w:p>
    <w:tbl>
      <w:tblPr>
        <w:tblW w:w="3150" w:type="pct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461"/>
        <w:gridCol w:w="6409"/>
        <w:gridCol w:w="2124"/>
      </w:tblGrid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I. Начальные геометрические сведения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II. Треугольники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III. Параллельные прямые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IV. Соотношения между сторонами и углами треугольника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B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EB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tbl>
      <w:tblPr>
        <w:tblW w:w="4450" w:type="pct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578"/>
        <w:gridCol w:w="3377"/>
        <w:gridCol w:w="1567"/>
        <w:gridCol w:w="7596"/>
      </w:tblGrid>
      <w:tr>
        <w:trPr/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Тема, основное содержание по темам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7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>
        <w:trPr/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I. Начальные геометрические сведения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Прямая и отрезок. Луч и угол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Сравнение отрезков и углов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Измерение отрезков. Измерение углов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2" w:hRule="atLeast"/>
        </w:trPr>
        <w:tc>
          <w:tcPr>
            <w:tcW w:w="1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II. Треугольники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40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2.1 Признаки равенства треугольников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ind w:left="409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Первый, второй и третий признак равенства треугольников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ind w:left="409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Медианы, биссектрисы и высоты треугольника</w:t>
            </w:r>
          </w:p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38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ListParagraph"/>
              <w:numPr>
                <w:ilvl w:val="1"/>
                <w:numId w:val="10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Решение задач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ind w:left="409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построение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ind w:left="409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96" w:hRule="atLeast"/>
        </w:trPr>
        <w:tc>
          <w:tcPr>
            <w:tcW w:w="1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III. Параллельные прямые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9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</w:t>
            </w:r>
          </w:p>
        </w:tc>
      </w:tr>
      <w:tr>
        <w:trPr>
          <w:trHeight w:val="5115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3.1 Признаки параллельности прямых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Признаки параллельности прямых двух прямых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Аксиома параллельности прямых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6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3.2. Решение задач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648" w:hRule="atLeast"/>
        </w:trPr>
        <w:tc>
          <w:tcPr>
            <w:tcW w:w="1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IV. Соотношения между сторонами и углами треугольника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59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Формулировать и доказывать теорему о сумме углов треугольника и её следствие о внешнем угле треугольника,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</w:t>
            </w:r>
            <w:r>
              <w:rPr>
                <w:rFonts w:eastAsia="SymbolMat" w:cs="Times New Roman" w:ascii="Times New Roman" w:hAnsi="Times New Roman"/>
                <w:sz w:val="24"/>
                <w:szCs w:val="24"/>
              </w:rPr>
              <w:t>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признаки равенства прямоугольных треугольников); формулировать определения расстояния от точки до прямой, расстояния между параллельными прямыми; решать задачи на вычисления, доказательство и построение, связанные с соотношениями между сторонами и углами тре угольника и расстоянием между параллельными прямыми, при необходимости проводить по ходу решения дополнительные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построения, сопоставлять полученный результат с условием задачи, в задачах на построение исследовать возможные случаи</w:t>
            </w:r>
          </w:p>
        </w:tc>
      </w:tr>
      <w:tr>
        <w:trPr>
          <w:trHeight w:val="4944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ListParagraph"/>
              <w:numPr>
                <w:ilvl w:val="1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Сумма углов треугольника</w:t>
            </w:r>
          </w:p>
          <w:p>
            <w:pPr>
              <w:pStyle w:val="ListParagraph"/>
              <w:numPr>
                <w:ilvl w:val="0"/>
                <w:numId w:val="12"/>
              </w:numPr>
              <w:ind w:left="0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" w:hRule="atLeast"/>
        </w:trPr>
        <w:tc>
          <w:tcPr>
            <w:tcW w:w="157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ListParagraph"/>
              <w:numPr>
                <w:ilvl w:val="1"/>
                <w:numId w:val="9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задач на построение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1.Построение треугольника по трем элементам</w:t>
            </w:r>
          </w:p>
          <w:p>
            <w:pPr>
              <w:pStyle w:val="ListParagraph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Решение задач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59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. Решение задач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"Начальные геометрические сведения"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"Признаки равенства треугольников. Равнобедренный треугольник"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"Параллельные прямые"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"Соотношения между сторонами и углами треугольника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"Задачи на построение"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Осознанно и произвольно строят речевые высказывания в письменной форме.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Осознают качество и уровень усвоения.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Придерживаются морально-этических и психологических принципов общения и сотрудничества.</w:t>
            </w:r>
          </w:p>
        </w:tc>
      </w:tr>
      <w:tr>
        <w:trPr/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9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4550" w:type="pct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582"/>
        <w:gridCol w:w="3667"/>
        <w:gridCol w:w="1570"/>
        <w:gridCol w:w="7617"/>
      </w:tblGrid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>
        <w:trPr/>
        <w:tc>
          <w:tcPr>
            <w:tcW w:w="15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V. Четырехугольники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6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</w:p>
        </w:tc>
      </w:tr>
      <w:tr>
        <w:trPr/>
        <w:tc>
          <w:tcPr>
            <w:tcW w:w="1582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Многоугольники. Параллелограмм и трапеция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8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 Прямоугольник, ромб, квадрат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81" w:hRule="atLeast"/>
        </w:trPr>
        <w:tc>
          <w:tcPr>
            <w:tcW w:w="15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VI. Площадь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6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2040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 Площадь многоугольника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2.2. Теорема Пифагора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39" w:hRule="atLeast"/>
        </w:trPr>
        <w:tc>
          <w:tcPr>
            <w:tcW w:w="15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VII. Подобные треугольники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6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>
              <w:rPr>
                <w:rFonts w:eastAsia="SymbolMat" w:cs="Times New Roman" w:ascii="Times New Roman" w:hAnsi="Times New Roman"/>
                <w:sz w:val="24"/>
                <w:szCs w:val="24"/>
              </w:rPr>
              <w:t>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45</w:t>
            </w:r>
            <w:r>
              <w:rPr>
                <w:rFonts w:eastAsia="SymbolMat" w:cs="Times New Roman" w:ascii="Times New Roman" w:hAnsi="Times New Roman"/>
                <w:sz w:val="24"/>
                <w:szCs w:val="24"/>
              </w:rPr>
              <w:t>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60</w:t>
            </w:r>
            <w:r>
              <w:rPr>
                <w:rFonts w:eastAsia="SymbolMat" w:cs="Times New Roman" w:ascii="Times New Roman" w:hAnsi="Times New Roman"/>
                <w:sz w:val="24"/>
                <w:szCs w:val="24"/>
              </w:rPr>
              <w:t>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</w:tr>
      <w:tr>
        <w:trPr>
          <w:trHeight w:val="3515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 Признаки подобия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3.2. Применение подобия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30" w:hRule="atLeast"/>
        </w:trPr>
        <w:tc>
          <w:tcPr>
            <w:tcW w:w="15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VIII. Окружность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6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о свойстве сторон описанного четырёхугольника;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</w:tr>
      <w:tr>
        <w:trPr>
          <w:trHeight w:val="6180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 Касательная. Центральные и вписанные углы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86" w:hRule="atLeast"/>
        </w:trPr>
        <w:tc>
          <w:tcPr>
            <w:tcW w:w="158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4.2 Вписанная и описанная окружность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  <w:tc>
          <w:tcPr>
            <w:tcW w:w="7617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по теме «Четырёхугольники». 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«Площадь».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«Подобие треугольников. Окружность».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Повторение по теме «Подобие треугольников. Окружность».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</w:tr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4550" w:type="pct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582"/>
        <w:gridCol w:w="3667"/>
        <w:gridCol w:w="1570"/>
        <w:gridCol w:w="7617"/>
      </w:tblGrid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66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66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IX. Векторы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Понятие вектора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Сложение и вычитание векторов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Умножение вектора на число.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</w:tc>
      </w:tr>
      <w:tr>
        <w:trPr>
          <w:trHeight w:val="1381" w:hRule="atLeast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X. Метод координат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Координаты вектора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Простейшие задачи в координатах</w:t>
            </w:r>
          </w:p>
          <w:p>
            <w:pPr>
              <w:pStyle w:val="ListParagraph"/>
              <w:numPr>
                <w:ilvl w:val="0"/>
                <w:numId w:val="16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Уравнения окружности 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>
        <w:trPr>
          <w:trHeight w:val="1523" w:hRule="atLeast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Глава XI.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Синус, косинус, тангенс, котангенс угла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Скалярное произведение векторов</w:t>
            </w:r>
          </w:p>
          <w:p>
            <w:pPr>
              <w:pStyle w:val="ListParagraph"/>
              <w:numPr>
                <w:ilvl w:val="0"/>
                <w:numId w:val="17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Формулировать и иллюстрировать определения синуса, косинуса, тангенса и котангенса углов от 0 до 180</w:t>
            </w:r>
            <w:r>
              <w:rPr>
                <w:rFonts w:eastAsia="SymbolMat" w:cs="Times New Roman" w:ascii="Times New Roman" w:hAnsi="Times New Roman"/>
                <w:sz w:val="24"/>
                <w:szCs w:val="24"/>
              </w:rPr>
              <w:t>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</w:tr>
      <w:tr>
        <w:trPr>
          <w:trHeight w:val="1509" w:hRule="atLeast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I. Длина окружности и площадь круга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Правильные многоугольники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Длина окружности и площадь круга</w:t>
            </w:r>
          </w:p>
          <w:p>
            <w:pPr>
              <w:pStyle w:val="ListParagraph"/>
              <w:numPr>
                <w:ilvl w:val="0"/>
                <w:numId w:val="18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</w:tr>
      <w:tr>
        <w:trPr>
          <w:trHeight w:val="1509" w:hRule="atLeast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II. Движение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Понятие движения</w:t>
            </w:r>
          </w:p>
          <w:p>
            <w:pPr>
              <w:pStyle w:val="ListParagraph"/>
              <w:numPr>
                <w:ilvl w:val="0"/>
                <w:numId w:val="19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</w:t>
            </w:r>
          </w:p>
        </w:tc>
      </w:tr>
      <w:tr>
        <w:trPr>
          <w:trHeight w:val="1509" w:hRule="atLeast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Строят логические цепи рассуждений.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Предвосхищают результат и уровень усвоения (какой будет результат?).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Выдвигают и обосновывают гипотезы, предлагают способы их проверки.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треугольников. Замечательные линии и точки треугольника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Тригонометрические функции острого угла прямоугольного треугольника.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четырехугольников. Свойства и признаки.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Координатный и векторный методы решения задач  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Понимают возможность различных точек зрения, не совпадающих с собственной.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Умеют с помощью вопросов добывать недостающую информацию.</w:t>
            </w:r>
          </w:p>
        </w:tc>
      </w:tr>
      <w:tr>
        <w:trPr/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keepLines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1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1"/>
        <w:jc w:val="center"/>
        <w:rPr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1"/>
        <w:jc w:val="center"/>
        <w:rPr/>
      </w:pPr>
      <w:r>
        <w:rPr>
          <w:rFonts w:ascii="Times New Roman" w:hAnsi="Times New Roman"/>
          <w:color w:val="00000A"/>
          <w:sz w:val="24"/>
          <w:szCs w:val="24"/>
        </w:rPr>
        <w:t>7.Описание материально-технического обеспечения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3" w:name="_Toc337904939"/>
      <w:bookmarkStart w:id="14" w:name="_Toc337904938"/>
      <w:bookmarkEnd w:id="13"/>
      <w:bookmarkEnd w:id="14"/>
      <w:r>
        <w:rPr>
          <w:rFonts w:cs="Times New Roman" w:ascii="Times New Roman" w:hAnsi="Times New Roman"/>
          <w:b/>
          <w:sz w:val="24"/>
          <w:szCs w:val="24"/>
        </w:rPr>
        <w:t>Печатные издания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Геометрия: 7—9 кл. / Л. С. Атанасян, В. Ф. Бутузов, С. Б. Кадомцев и др. — М.: Просвещение, 2011—2015.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Зив Б. Г. </w:t>
      </w:r>
      <w:r>
        <w:rPr>
          <w:rFonts w:cs="Times New Roman" w:ascii="Times New Roman" w:hAnsi="Times New Roman"/>
          <w:sz w:val="24"/>
          <w:szCs w:val="24"/>
        </w:rPr>
        <w:t>Геометрия: дидакт. материалы: 7 кл. / Б. Г. Зив, В. М. Мейлер. — М.: Просвещение, 2014—2017.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Зив Б. Г. </w:t>
      </w:r>
      <w:r>
        <w:rPr>
          <w:rFonts w:cs="Times New Roman" w:ascii="Times New Roman" w:hAnsi="Times New Roman"/>
          <w:sz w:val="24"/>
          <w:szCs w:val="24"/>
        </w:rPr>
        <w:t>Геометрия: дидакт. материалы: 8 кл. / Б. Г. Зив,В. М. Мейлер. — М.: Просвещение, 2014—2017.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Зив Б. Г. </w:t>
      </w:r>
      <w:r>
        <w:rPr>
          <w:rFonts w:cs="Times New Roman" w:ascii="Times New Roman" w:hAnsi="Times New Roman"/>
          <w:sz w:val="24"/>
          <w:szCs w:val="24"/>
        </w:rPr>
        <w:t>Геометрия: дидакт. материалы: 9 кл. / Б. Г. Зив. —М.: Просвещение, 2004—2011.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Изучение геометрии в 7, 8, 9 классах: метод. рекомендации: кн. для учителя / Л. С. Атанасян, В. Ф. Бутузов, Ю. А. Глазков и др. — М.: Просвещение, 2003—2011.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Мищенко Т. М. </w:t>
      </w:r>
      <w:r>
        <w:rPr>
          <w:rFonts w:cs="Times New Roman" w:ascii="Times New Roman" w:hAnsi="Times New Roman"/>
          <w:sz w:val="24"/>
          <w:szCs w:val="24"/>
        </w:rPr>
        <w:t>Геометрия: тематические тесты: 7 кл. /Т. М. Мищенко, А. Д. Блинков. — М.: Просвещение, 2014—2017.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Мищенко Т. М. </w:t>
      </w:r>
      <w:r>
        <w:rPr>
          <w:rFonts w:cs="Times New Roman" w:ascii="Times New Roman" w:hAnsi="Times New Roman"/>
          <w:sz w:val="24"/>
          <w:szCs w:val="24"/>
        </w:rPr>
        <w:t>Геометрия: тематические тесты: 8 кл. /Т. М. Мищенко, А. Д. Блинков. — М.: Просвещение, 2014—2017.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Мищенко Т. М. </w:t>
      </w:r>
      <w:r>
        <w:rPr>
          <w:rFonts w:cs="Times New Roman" w:ascii="Times New Roman" w:hAnsi="Times New Roman"/>
          <w:sz w:val="24"/>
          <w:szCs w:val="24"/>
        </w:rPr>
        <w:t>Геометрия: тематические тесты: 9 кл. /Т. М. Мищенко, А. Д. Блинков. — М.: Просвещение, 2014 - 2017..</w:t>
      </w:r>
    </w:p>
    <w:p>
      <w:pPr>
        <w:pStyle w:val="Normal"/>
        <w:ind w:hanging="1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Интернет ресурсы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567" w:hanging="11"/>
        <w:jc w:val="both"/>
        <w:rPr/>
      </w:pPr>
      <w:hyperlink r:id="rId2">
        <w:r>
          <w:rPr>
            <w:rStyle w:val="Style10"/>
            <w:rFonts w:cs="Times New Roman" w:ascii="Times New Roman" w:hAnsi="Times New Roman"/>
            <w:color w:val="0000FF"/>
            <w:sz w:val="24"/>
            <w:szCs w:val="24"/>
            <w:u w:val="single"/>
          </w:rPr>
          <w:t>http://umnojenie.narod.ru/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Способ умножения "треугольником".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567" w:hanging="11"/>
        <w:jc w:val="both"/>
        <w:rPr/>
      </w:pPr>
      <w:hyperlink r:id="rId3">
        <w:r>
          <w:rPr>
            <w:rStyle w:val="Style10"/>
            <w:rFonts w:cs="Times New Roman" w:ascii="Times New Roman" w:hAnsi="Times New Roman"/>
            <w:color w:val="0000FF"/>
            <w:sz w:val="24"/>
            <w:szCs w:val="24"/>
            <w:u w:val="single"/>
          </w:rPr>
          <w:t>http://comp-science.narod.ru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кл.) в формате LaTeX и др.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567" w:hanging="11"/>
        <w:jc w:val="both"/>
        <w:rPr/>
      </w:pPr>
      <w:hyperlink r:id="rId4">
        <w:r>
          <w:rPr>
            <w:rStyle w:val="Style10"/>
            <w:rFonts w:cs="Times New Roman" w:ascii="Times New Roman" w:hAnsi="Times New Roman"/>
            <w:color w:val="0000FF"/>
            <w:sz w:val="24"/>
            <w:szCs w:val="24"/>
            <w:u w:val="single"/>
          </w:rPr>
          <w:t>http://www.school.mos.ru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сайт поможет школьнику найти необходимую информацию для подготовки к урокам, материал для рефератов и т.д.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0" w:hanging="11"/>
        <w:jc w:val="both"/>
        <w:rPr/>
      </w:pPr>
      <w:hyperlink r:id="rId5">
        <w:r>
          <w:rPr>
            <w:rStyle w:val="Style10"/>
            <w:rFonts w:cs="Times New Roman" w:ascii="Times New Roman" w:hAnsi="Times New Roman"/>
            <w:color w:val="0000FF"/>
            <w:sz w:val="24"/>
            <w:szCs w:val="24"/>
            <w:u w:val="single"/>
          </w:rPr>
          <w:t>http://www.history.ru/freemath.htm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бесплатные обучающие программы по математике для школьников.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6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mathem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by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index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html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 Математика </w:t>
      </w:r>
      <w:r>
        <w:rPr>
          <w:rFonts w:cs="Times New Roman" w:ascii="Times New Roman" w:hAnsi="Times New Roman"/>
          <w:sz w:val="24"/>
          <w:szCs w:val="24"/>
          <w:lang w:val="en-US"/>
        </w:rPr>
        <w:t>online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7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comp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-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science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narod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</w:hyperlink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8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matematika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agava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</w:hyperlink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9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center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fio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som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subject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asp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?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=10000191</w:t>
        </w:r>
      </w:hyperlink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r>
        <w:fldChar w:fldCharType="begin"/>
      </w:r>
      <w:r>
        <w:instrText> HYPERLINK "http://www.samara.fio.ru/resourse/teachelp.shtml" \l "mate"</w:instrText>
      </w:r>
      <w:r>
        <w:fldChar w:fldCharType="separate"/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http</w:t>
      </w:r>
      <w:r>
        <w:fldChar w:fldCharType="end"/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://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www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.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samara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.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fio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.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ru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/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resourse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/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teachelp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.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shtml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</w:rPr>
        <w:t>#</w:t>
      </w:r>
      <w:r>
        <w:rPr>
          <w:rStyle w:val="Style10"/>
          <w:rFonts w:cs="Times New Roman" w:ascii="Times New Roman" w:hAnsi="Times New Roman"/>
          <w:bCs/>
          <w:color w:val="0000FF"/>
          <w:sz w:val="24"/>
          <w:szCs w:val="24"/>
          <w:u w:val="single"/>
          <w:lang w:val="en-US"/>
        </w:rPr>
        <w:t>mate</w:t>
      </w:r>
      <w:r>
        <w:rPr>
          <w:rFonts w:cs="Times New Roman" w:ascii="Times New Roman" w:hAnsi="Times New Roman"/>
          <w:sz w:val="24"/>
          <w:szCs w:val="24"/>
        </w:rPr>
        <w:t> 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10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refportal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mathemaics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Рефераты по математике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11"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://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otbet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Style w:val="Style10"/>
            <w:rFonts w:cs="Times New Roman" w:ascii="Times New Roman" w:hAnsi="Times New Roman"/>
            <w:bCs/>
            <w:color w:val="0000FF"/>
            <w:sz w:val="24"/>
            <w:szCs w:val="24"/>
            <w:u w:val="single"/>
          </w:rPr>
          <w:t xml:space="preserve">/ </w:t>
        </w:r>
      </w:hyperlink>
      <w:r>
        <w:rPr>
          <w:rFonts w:cs="Times New Roman" w:ascii="Times New Roman" w:hAnsi="Times New Roman"/>
          <w:sz w:val="24"/>
          <w:szCs w:val="24"/>
        </w:rPr>
        <w:t>Делаем уроки вместе!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12">
        <w:r>
          <w:rPr>
            <w:rStyle w:val="Style10"/>
            <w:rFonts w:cs="Times New Roman" w:ascii="Times New Roman" w:hAnsi="Times New Roman"/>
            <w:bCs/>
            <w:sz w:val="24"/>
            <w:szCs w:val="24"/>
          </w:rPr>
          <w:t>http://uztest.ru/logout</w:t>
        </w:r>
      </w:hyperlink>
      <w:r>
        <w:rPr>
          <w:rFonts w:cs="Times New Roman" w:ascii="Times New Roman" w:hAnsi="Times New Roman"/>
          <w:bCs/>
          <w:color w:val="3366FF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ЕГЭ по математике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567" w:hanging="11"/>
        <w:jc w:val="both"/>
        <w:rPr/>
      </w:pPr>
      <w:hyperlink r:id="rId13">
        <w:r>
          <w:rPr>
            <w:rStyle w:val="Style10"/>
            <w:rFonts w:cs="Times New Roman" w:ascii="Times New Roman" w:hAnsi="Times New Roman"/>
            <w:sz w:val="24"/>
            <w:szCs w:val="24"/>
          </w:rPr>
          <w:t>http://ege-online-test.ru</w:t>
        </w:r>
      </w:hyperlink>
      <w:r>
        <w:rPr>
          <w:rFonts w:cs="Times New Roman" w:ascii="Times New Roman" w:hAnsi="Times New Roman"/>
          <w:sz w:val="24"/>
          <w:szCs w:val="24"/>
        </w:rPr>
        <w:t>/ ЕГЭ Онлайн Тест (математика)</w:t>
      </w:r>
    </w:p>
    <w:p>
      <w:pPr>
        <w:pStyle w:val="1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1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Планируемые результаты обучения предмета геометрии 7-9 класс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Toc337646584"/>
      <w:bookmarkEnd w:id="15"/>
      <w:r>
        <w:rPr>
          <w:rFonts w:ascii="Times New Roman" w:hAnsi="Times New Roman"/>
          <w:color w:val="000000"/>
          <w:sz w:val="24"/>
          <w:szCs w:val="24"/>
        </w:rPr>
        <w:t>Результаты обучения  представлены в Требованиях  к уровню подготовки и задают систему итоговых результатов обучения.  Результаты должны достичь решения практических задач, связанных с нахождением геометрических величин (используя при необходимости справочники и технические средства). А также  построений геометрическими инструментами (линейка, угольник, циркуль, транспортир); владения практическими навыками использования геометрических инструментов для изображения фигур. И также нахождения длин отрезков и величин углов.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Наглядная геометрия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  научится: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определять по линейным размерам развёртки фигуры линейные размеры самой фигуры и наоборот;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вычислять объём прямоугольного параллелепипеда.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получит возможность: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</w:t>
      </w:r>
      <w:r>
        <w:rPr>
          <w:rFonts w:cs="Times New Roman" w:ascii="Times New Roman" w:hAnsi="Times New Roman"/>
          <w:i/>
          <w:iCs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</w:t>
      </w:r>
      <w:r>
        <w:rPr>
          <w:rFonts w:cs="Times New Roman" w:ascii="Times New Roman" w:hAnsi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r>
        <w:rPr>
          <w:rFonts w:cs="Times New Roman" w:ascii="Times New Roman" w:hAnsi="Times New Roman"/>
          <w:i/>
          <w:iCs/>
          <w:sz w:val="24"/>
          <w:szCs w:val="24"/>
        </w:rPr>
        <w:t>применять понятие развёртки для выполнения практических расчётов.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Геометрические фигуры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 научится: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  <w:r>
        <w:rPr>
          <w:rFonts w:cs="Times New Roman" w:ascii="Times New Roman" w:hAnsi="Times New Roman"/>
          <w:color w:val="000000"/>
          <w:sz w:val="24"/>
          <w:szCs w:val="24"/>
        </w:rPr>
        <w:t>3) находить значения длин линейных элементов фигур и их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отношения, градусную меру углов от 0 до 180</w:t>
      </w:r>
      <w:r>
        <w:rPr>
          <w:rFonts w:eastAsia="SymbolMat" w:cs="Times New Roman" w:ascii="Times New Roman" w:hAnsi="Times New Roman"/>
          <w:color w:val="000000"/>
          <w:sz w:val="24"/>
          <w:szCs w:val="24"/>
        </w:rPr>
        <w:t>°</w:t>
      </w:r>
      <w:r>
        <w:rPr>
          <w:rFonts w:cs="Times New Roman" w:ascii="Times New Roman" w:hAnsi="Times New Roman"/>
          <w:color w:val="000000"/>
          <w:sz w:val="24"/>
          <w:szCs w:val="24"/>
        </w:rPr>
        <w:t>, применяя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определения, свойства и признаки фигур и их элементов,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отношения фигур (равенство, подобие, симметрии, поворот, параллельный перенос);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4) оперировать с начальными понятиями тригонометрии и выполнять элементарные операции над функциями углов;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7) решать простейшие планиметрические задачи в пространстве.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12)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13)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научится: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Обучающийся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7)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Координаты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Выпускник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научится: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2) использовать координатный метод для изучения свойств прямых и окружностей.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Выпускник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овладеть координатным методом решения задач на вычисление и доказательство;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5)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Векторы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Выпускник  научится: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вычислять скалярное произведение векторов, находить угол между векторами, устанавливать перпендикулярность прямых.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Выпускник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 получит возможность: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</w:t>
      </w:r>
      <w:r>
        <w:rPr>
          <w:rFonts w:cs="Times New Roman" w:ascii="Times New Roman" w:hAnsi="Times New Roman"/>
          <w:i/>
          <w:iCs/>
          <w:sz w:val="24"/>
          <w:szCs w:val="24"/>
        </w:rPr>
        <w:t>овладеть векторным методом для решения задач на вычисление и доказательство;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</w:t>
      </w:r>
      <w:r>
        <w:rPr>
          <w:rFonts w:cs="Times New Roman" w:ascii="Times New Roman" w:hAnsi="Times New Roman"/>
          <w:i/>
          <w:iCs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>
      <w:pPr>
        <w:pStyle w:val="Normal"/>
        <w:shd w:val="clear" w:color="auto" w:fill="FFFFFF"/>
        <w:spacing w:lineRule="auto" w:line="240" w:before="0" w:after="0"/>
        <w:ind w:left="15" w:firstLine="3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right="15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Система оценки планируемых результатов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Оценка устных ответов обучающихся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b/>
        </w:rPr>
        <w:t xml:space="preserve">Ответ оценивается </w:t>
      </w:r>
      <w:r>
        <w:rPr>
          <w:rStyle w:val="Style6"/>
          <w:b/>
          <w:bCs/>
        </w:rPr>
        <w:t>отметкой «5»,</w:t>
      </w:r>
      <w:r>
        <w:rPr>
          <w:b/>
        </w:rPr>
        <w:t xml:space="preserve"> если </w:t>
      </w:r>
      <w:r>
        <w:rPr>
          <w:rStyle w:val="Strong"/>
        </w:rPr>
        <w:t>обучающийся</w:t>
      </w:r>
      <w:r>
        <w:rPr>
          <w:b/>
        </w:rPr>
        <w:t>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jc w:val="both"/>
        <w:rPr/>
      </w:pPr>
      <w:r>
        <w:rPr/>
        <w:t>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jc w:val="both"/>
        <w:rPr/>
      </w:pPr>
      <w:r>
        <w:rPr/>
        <w:t>правильно выполнил рисунки, чертежи, графики, сопутствующие ответу;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jc w:val="both"/>
        <w:rPr/>
      </w:pPr>
      <w:r>
        <w:rPr/>
        <w:t>показал умение иллюстрировать теоретические положения конкретными приме</w:t>
      </w:r>
      <w:bookmarkStart w:id="16" w:name="_GoBack"/>
      <w:bookmarkEnd w:id="16"/>
      <w:r>
        <w:rPr/>
        <w:t>рами, применять их в новой ситуации при выполнении практического задания;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jc w:val="both"/>
        <w:rPr/>
      </w:pPr>
      <w:r>
        <w:rPr/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0"/>
        <w:jc w:val="both"/>
        <w:rPr/>
      </w:pPr>
      <w:r>
        <w:rPr/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>
      <w:pPr>
        <w:pStyle w:val="NormalWeb"/>
        <w:spacing w:beforeAutospacing="0" w:before="0" w:afterAutospacing="0" w:after="0"/>
        <w:rPr/>
      </w:pPr>
      <w:r>
        <w:rPr>
          <w:b/>
        </w:rPr>
        <w:t xml:space="preserve">Ответ оценивается </w:t>
      </w:r>
      <w:r>
        <w:rPr>
          <w:rStyle w:val="Strong"/>
        </w:rPr>
        <w:t>отметкой «4»,</w:t>
      </w:r>
      <w:r>
        <w:rPr>
          <w:rStyle w:val="Strong"/>
          <w:b w:val="false"/>
        </w:rPr>
        <w:t xml:space="preserve"> </w:t>
      </w:r>
      <w:r>
        <w:rPr>
          <w:b/>
        </w:rPr>
        <w:t>если</w:t>
      </w:r>
      <w:r>
        <w:rPr/>
        <w:t xml:space="preserve"> 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hanging="0"/>
        <w:jc w:val="both"/>
        <w:rPr/>
      </w:pPr>
      <w:r>
        <w:rPr/>
        <w:t>он удовлетворяет в основном требованиям на оценку «5», но при этом имеет один из недостатков: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hanging="0"/>
        <w:jc w:val="both"/>
        <w:rPr/>
      </w:pPr>
      <w:r>
        <w:rPr/>
        <w:t>в изложении допущены небольшие пробелы, не исказившие математическое содержание ответа;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hanging="0"/>
        <w:jc w:val="both"/>
        <w:rPr/>
      </w:pPr>
      <w:r>
        <w:rPr/>
        <w:t>допущены один – два недочета при освещении основного содержания ответа, исправленные по замечанию учителя;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0" w:hanging="0"/>
        <w:jc w:val="both"/>
        <w:rPr/>
      </w:pPr>
      <w:r>
        <w:rPr/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>
      <w:pPr>
        <w:pStyle w:val="NormalWeb"/>
        <w:spacing w:beforeAutospacing="0" w:before="0" w:afterAutospacing="0" w:after="0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rStyle w:val="Strong"/>
        </w:rPr>
        <w:t>Отметка «3»</w:t>
      </w:r>
      <w:r>
        <w:rPr>
          <w:b/>
        </w:rPr>
        <w:t xml:space="preserve"> ставится в следующих случаях: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0"/>
        <w:jc w:val="both"/>
        <w:rPr/>
      </w:pPr>
      <w:r>
        <w:rPr/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0"/>
        <w:jc w:val="both"/>
        <w:rPr/>
      </w:pPr>
      <w:r>
        <w:rPr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0"/>
        <w:jc w:val="both"/>
        <w:rPr/>
      </w:pPr>
      <w:r>
        <w:rPr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0" w:hanging="0"/>
        <w:jc w:val="both"/>
        <w:rPr>
          <w:rStyle w:val="Strong"/>
          <w:b w:val="false"/>
          <w:b w:val="false"/>
          <w:bCs w:val="false"/>
        </w:rPr>
      </w:pPr>
      <w:r>
        <w:rPr/>
        <w:t>при знании теоретического материала выявлена недостаточная сформированность основных умений и навыков.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rStyle w:val="Strong"/>
        </w:rPr>
        <w:t>Отметка «2»</w:t>
      </w:r>
      <w:r>
        <w:rPr/>
        <w:t xml:space="preserve"> </w:t>
      </w:r>
      <w:r>
        <w:rPr>
          <w:b/>
        </w:rPr>
        <w:t>ставится в следующих случаях: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0" w:hanging="0"/>
        <w:rPr/>
      </w:pPr>
      <w:r>
        <w:rPr/>
        <w:t>не раскрыто основное содержание учебного материала;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0" w:hanging="0"/>
        <w:rPr/>
      </w:pPr>
      <w:r>
        <w:rPr/>
        <w:t>обнаружено незнание или непонимание учеником большей или наиболее важной части учебного материала;</w:t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0" w:hanging="0"/>
        <w:jc w:val="both"/>
        <w:rPr>
          <w:rStyle w:val="Style6"/>
          <w:i w:val="false"/>
          <w:i w:val="false"/>
          <w:iCs w:val="false"/>
        </w:rPr>
      </w:pPr>
      <w:r>
        <w:rPr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>
          <w:rStyle w:val="Style6"/>
          <w:b/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yle6"/>
          <w:b/>
          <w:bCs/>
        </w:rPr>
        <w:t xml:space="preserve">Оценка письменных работ </w:t>
      </w:r>
      <w:r>
        <w:rPr>
          <w:rStyle w:val="Strong"/>
        </w:rPr>
        <w:t>обучающихся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rStyle w:val="Strong"/>
        </w:rPr>
        <w:t>Отметка «5»</w:t>
      </w:r>
      <w:r>
        <w:rPr/>
        <w:t xml:space="preserve"> </w:t>
      </w:r>
      <w:r>
        <w:rPr>
          <w:b/>
        </w:rPr>
        <w:t>ставится, если: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0" w:hanging="0"/>
        <w:rPr/>
      </w:pPr>
      <w:r>
        <w:rPr/>
        <w:t>работа выполнена полностью;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0" w:hanging="0"/>
        <w:rPr/>
      </w:pPr>
      <w:r>
        <w:rPr/>
        <w:t>в логических рассуждениях и обосновании решения нет пробелов и ошибок;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0" w:hanging="0"/>
        <w:rPr>
          <w:rStyle w:val="Strong"/>
          <w:b w:val="false"/>
          <w:b w:val="false"/>
          <w:bCs w:val="false"/>
        </w:rPr>
      </w:pPr>
      <w:r>
        <w:rPr/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>
      <w:pPr>
        <w:pStyle w:val="NormalWeb"/>
        <w:spacing w:beforeAutospacing="0" w:before="0" w:afterAutospacing="0" w:after="0"/>
        <w:rPr>
          <w:b/>
          <w:b/>
        </w:rPr>
      </w:pPr>
      <w:r>
        <w:rPr>
          <w:rStyle w:val="Strong"/>
        </w:rPr>
        <w:t>Отметка «4»</w:t>
      </w:r>
      <w:r>
        <w:rPr>
          <w:b/>
        </w:rPr>
        <w:t xml:space="preserve"> ставится, если: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0" w:hanging="0"/>
        <w:rPr/>
      </w:pPr>
      <w:r>
        <w:rPr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0" w:hanging="0"/>
        <w:rPr>
          <w:rStyle w:val="Strong"/>
          <w:b w:val="false"/>
          <w:b w:val="false"/>
          <w:bCs w:val="false"/>
        </w:rPr>
      </w:pPr>
      <w:r>
        <w:rPr/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>Отметка «3»</w:t>
      </w:r>
      <w:r>
        <w:rPr/>
        <w:t xml:space="preserve"> ставится, если: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0" w:hanging="0"/>
        <w:rPr>
          <w:rStyle w:val="Strong"/>
          <w:b w:val="false"/>
          <w:b w:val="false"/>
          <w:bCs w:val="false"/>
        </w:rPr>
      </w:pPr>
      <w:r>
        <w:rPr/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>
      <w:pPr>
        <w:pStyle w:val="NormalWeb"/>
        <w:spacing w:beforeAutospacing="0" w:before="0" w:afterAutospacing="0" w:after="0"/>
        <w:rPr/>
      </w:pPr>
      <w:r>
        <w:rPr>
          <w:rStyle w:val="Strong"/>
        </w:rPr>
        <w:t>Отметка «2»</w:t>
      </w:r>
      <w:r>
        <w:rPr/>
        <w:t xml:space="preserve"> ставится, если: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0" w:hanging="0"/>
        <w:rPr/>
      </w:pPr>
      <w:r>
        <w:rPr/>
        <w:t>допущены существенные ошибки, показавшие, что учащийся не владеет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 </w:t>
      </w:r>
      <w:r>
        <w:rPr/>
        <w:t>обязательными умениями по данной теме в полной мере.</w:t>
      </w:r>
    </w:p>
    <w:p>
      <w:pPr>
        <w:pStyle w:val="Normal"/>
        <w:shd w:val="clear" w:color="auto" w:fill="FFFFFF"/>
        <w:spacing w:lineRule="auto" w:line="240" w:before="0" w:after="0"/>
        <w:ind w:left="345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345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>
      <w:pPr>
        <w:sectPr>
          <w:type w:val="nextPage"/>
          <w:pgSz w:orient="landscape" w:w="16838" w:h="11906"/>
          <w:pgMar w:left="720" w:right="253" w:header="0" w:top="539" w:footer="0" w:bottom="42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val="clear" w:color="auto" w:fill="FFFFFF"/>
        <w:spacing w:lineRule="auto" w:line="240" w:before="0" w:after="0"/>
        <w:ind w:left="345" w:hanging="0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ckwell">
    <w:charset w:val="cc"/>
    <w:family w:val="roman"/>
    <w:pitch w:val="variable"/>
  </w:font>
  <w:font w:name="Century Schoolbook">
    <w:charset w:val="cc"/>
    <w:family w:val="roman"/>
    <w:pitch w:val="variable"/>
  </w:font>
  <w:font w:name="Bookman Old Style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ewtonCSanPin-Regular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ckwell" w:hAnsi="Rockwell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Rockwell" w:hAnsi="Rockwell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27e3e"/>
    <w:pPr>
      <w:keepNext/>
      <w:keepLines/>
      <w:spacing w:before="480" w:after="0"/>
      <w:outlineLvl w:val="0"/>
    </w:pPr>
    <w:rPr>
      <w:rFonts w:ascii="Rockwell" w:hAnsi="Rockwel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f27e3e"/>
    <w:pPr>
      <w:keepNext/>
      <w:keepLines/>
      <w:spacing w:before="200" w:after="0"/>
      <w:outlineLvl w:val="1"/>
    </w:pPr>
    <w:rPr>
      <w:rFonts w:ascii="Rockwell" w:hAnsi="Rockwell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f27e3e"/>
    <w:pPr>
      <w:keepNext/>
      <w:keepLines/>
      <w:spacing w:before="200" w:after="0"/>
      <w:outlineLvl w:val="2"/>
    </w:pPr>
    <w:rPr>
      <w:rFonts w:ascii="Rockwell" w:hAnsi="Rockwell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link w:val="40"/>
    <w:uiPriority w:val="9"/>
    <w:semiHidden/>
    <w:unhideWhenUsed/>
    <w:qFormat/>
    <w:rsid w:val="00f27e3e"/>
    <w:pPr>
      <w:keepNext/>
      <w:keepLines/>
      <w:spacing w:before="200" w:after="0"/>
      <w:outlineLvl w:val="3"/>
    </w:pPr>
    <w:rPr>
      <w:rFonts w:ascii="Rockwell" w:hAnsi="Rockwel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link w:val="50"/>
    <w:uiPriority w:val="9"/>
    <w:semiHidden/>
    <w:unhideWhenUsed/>
    <w:qFormat/>
    <w:rsid w:val="00f27e3e"/>
    <w:pPr>
      <w:keepNext/>
      <w:keepLines/>
      <w:spacing w:before="200" w:after="0"/>
      <w:outlineLvl w:val="4"/>
    </w:pPr>
    <w:rPr>
      <w:rFonts w:ascii="Rockwell" w:hAnsi="Rockwell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link w:val="60"/>
    <w:uiPriority w:val="9"/>
    <w:semiHidden/>
    <w:unhideWhenUsed/>
    <w:qFormat/>
    <w:rsid w:val="00f27e3e"/>
    <w:pPr>
      <w:keepNext/>
      <w:keepLines/>
      <w:spacing w:before="200" w:after="0"/>
      <w:outlineLvl w:val="5"/>
    </w:pPr>
    <w:rPr>
      <w:rFonts w:ascii="Rockwell" w:hAnsi="Rockwell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link w:val="70"/>
    <w:uiPriority w:val="9"/>
    <w:semiHidden/>
    <w:unhideWhenUsed/>
    <w:qFormat/>
    <w:rsid w:val="00f27e3e"/>
    <w:pPr>
      <w:keepNext/>
      <w:keepLines/>
      <w:spacing w:before="200" w:after="0"/>
      <w:outlineLvl w:val="6"/>
    </w:pPr>
    <w:rPr>
      <w:rFonts w:ascii="Rockwell" w:hAnsi="Rockwell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link w:val="80"/>
    <w:uiPriority w:val="9"/>
    <w:semiHidden/>
    <w:unhideWhenUsed/>
    <w:qFormat/>
    <w:rsid w:val="00f27e3e"/>
    <w:pPr>
      <w:keepNext/>
      <w:keepLines/>
      <w:spacing w:before="200" w:after="0"/>
      <w:outlineLvl w:val="7"/>
    </w:pPr>
    <w:rPr>
      <w:rFonts w:ascii="Rockwell" w:hAnsi="Rockwell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link w:val="90"/>
    <w:uiPriority w:val="9"/>
    <w:semiHidden/>
    <w:unhideWhenUsed/>
    <w:qFormat/>
    <w:rsid w:val="00f27e3e"/>
    <w:pPr>
      <w:keepNext/>
      <w:keepLines/>
      <w:spacing w:before="200" w:after="0"/>
      <w:outlineLvl w:val="8"/>
    </w:pPr>
    <w:rPr>
      <w:rFonts w:ascii="Rockwell" w:hAnsi="Rockwell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5" w:customStyle="1">
    <w:name w:val="Основной текст Знак"/>
    <w:basedOn w:val="DefaultParagraphFont"/>
    <w:link w:val="a4"/>
    <w:qFormat/>
    <w:rsid w:val="0087004c"/>
    <w:rPr>
      <w:sz w:val="24"/>
      <w:szCs w:val="24"/>
    </w:rPr>
  </w:style>
  <w:style w:type="character" w:styleId="21" w:customStyle="1">
    <w:name w:val="Основной текст (2)_"/>
    <w:basedOn w:val="DefaultParagraphFont"/>
    <w:link w:val="210"/>
    <w:qFormat/>
    <w:rsid w:val="0087004c"/>
    <w:rPr>
      <w:rFonts w:ascii="Century Schoolbook" w:hAnsi="Century Schoolbook"/>
      <w:i/>
      <w:iCs/>
      <w:sz w:val="18"/>
      <w:szCs w:val="18"/>
      <w:shd w:fill="FFFFFF" w:val="clear"/>
    </w:rPr>
  </w:style>
  <w:style w:type="character" w:styleId="22" w:customStyle="1">
    <w:name w:val="Основной текст (2)2"/>
    <w:basedOn w:val="21"/>
    <w:qFormat/>
    <w:rsid w:val="0087004c"/>
    <w:rPr>
      <w:rFonts w:ascii="Bookman Old Style" w:hAnsi="Bookman Old Style" w:cs="Bookman Old Style"/>
      <w:i/>
      <w:iCs/>
      <w:spacing w:val="0"/>
      <w:sz w:val="16"/>
      <w:szCs w:val="16"/>
      <w:shd w:fill="FFFFFF" w:val="clear"/>
    </w:rPr>
  </w:style>
  <w:style w:type="character" w:styleId="23" w:customStyle="1">
    <w:name w:val="Основной текст (2)"/>
    <w:basedOn w:val="21"/>
    <w:qFormat/>
    <w:rsid w:val="0087004c"/>
    <w:rPr>
      <w:rFonts w:ascii="Verdana" w:hAnsi="Verdana" w:cs="Verdana"/>
      <w:i/>
      <w:iCs/>
      <w:spacing w:val="0"/>
      <w:sz w:val="19"/>
      <w:szCs w:val="19"/>
      <w:shd w:fill="FFFFFF" w:val="clear"/>
      <w:lang w:bidi="ar-SA"/>
    </w:rPr>
  </w:style>
  <w:style w:type="character" w:styleId="Strong">
    <w:name w:val="Strong"/>
    <w:basedOn w:val="DefaultParagraphFont"/>
    <w:uiPriority w:val="22"/>
    <w:qFormat/>
    <w:rsid w:val="00f27e3e"/>
    <w:rPr>
      <w:b/>
      <w:bCs/>
    </w:rPr>
  </w:style>
  <w:style w:type="character" w:styleId="Style6">
    <w:name w:val="Выделение"/>
    <w:basedOn w:val="DefaultParagraphFont"/>
    <w:uiPriority w:val="20"/>
    <w:qFormat/>
    <w:rsid w:val="00f27e3e"/>
    <w:rPr>
      <w:i/>
      <w:iCs/>
    </w:rPr>
  </w:style>
  <w:style w:type="character" w:styleId="24" w:customStyle="1">
    <w:name w:val="Заголовок 2 Знак"/>
    <w:basedOn w:val="DefaultParagraphFont"/>
    <w:link w:val="2"/>
    <w:uiPriority w:val="9"/>
    <w:semiHidden/>
    <w:qFormat/>
    <w:rsid w:val="00f27e3e"/>
    <w:rPr>
      <w:rFonts w:ascii="Rockwell" w:hAnsi="Rockwell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f27e3e"/>
    <w:rPr>
      <w:rFonts w:ascii="Rockwell" w:hAnsi="Rockwell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27e3e"/>
    <w:rPr>
      <w:rFonts w:ascii="Rockwell" w:hAnsi="Rockwell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27e3e"/>
    <w:rPr>
      <w:rFonts w:ascii="Rockwell" w:hAnsi="Rockwell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25" w:customStyle="1">
    <w:name w:val="Цитата 2 Знак"/>
    <w:basedOn w:val="DefaultParagraphFont"/>
    <w:link w:val="24"/>
    <w:uiPriority w:val="29"/>
    <w:qFormat/>
    <w:rsid w:val="00f27e3e"/>
    <w:rPr>
      <w:i/>
      <w:iCs/>
      <w:color w:val="000000" w:themeColor="text1"/>
    </w:rPr>
  </w:style>
  <w:style w:type="character" w:styleId="Style9" w:customStyle="1">
    <w:name w:val="Выделенная цитата Знак"/>
    <w:basedOn w:val="DefaultParagraphFont"/>
    <w:link w:val="af"/>
    <w:uiPriority w:val="30"/>
    <w:qFormat/>
    <w:rsid w:val="00f27e3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27e3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27e3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27e3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27e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27e3e"/>
    <w:rPr>
      <w:b/>
      <w:bCs/>
      <w:smallCaps/>
      <w:spacing w:val="5"/>
    </w:rPr>
  </w:style>
  <w:style w:type="character" w:styleId="Style10">
    <w:name w:val="Интернет-ссылка"/>
    <w:uiPriority w:val="99"/>
    <w:unhideWhenUsed/>
    <w:rsid w:val="00c37f29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af8"/>
    <w:qFormat/>
    <w:rsid w:val="00a02b9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Symbol"/>
      <w:sz w:val="24"/>
      <w:szCs w:val="24"/>
    </w:rPr>
  </w:style>
  <w:style w:type="character" w:styleId="ListLabel2">
    <w:name w:val="ListLabel 2"/>
    <w:qFormat/>
    <w:rPr>
      <w:rFonts w:cs="Courier New"/>
      <w:sz w:val="24"/>
      <w:szCs w:val="24"/>
    </w:rPr>
  </w:style>
  <w:style w:type="character" w:styleId="ListLabel3">
    <w:name w:val="ListLabel 3"/>
    <w:qFormat/>
    <w:rPr>
      <w:rFonts w:cs="Wingdings"/>
      <w:sz w:val="24"/>
      <w:szCs w:val="24"/>
    </w:rPr>
  </w:style>
  <w:style w:type="character" w:styleId="ListLabel4">
    <w:name w:val="ListLabel 4"/>
    <w:qFormat/>
    <w:rPr>
      <w:rFonts w:cs="Symbol"/>
      <w:sz w:val="24"/>
      <w:szCs w:val="24"/>
    </w:rPr>
  </w:style>
  <w:style w:type="character" w:styleId="ListLabel5">
    <w:name w:val="ListLabel 5"/>
    <w:qFormat/>
    <w:rPr>
      <w:rFonts w:cs="Courier New"/>
      <w:sz w:val="24"/>
      <w:szCs w:val="24"/>
    </w:rPr>
  </w:style>
  <w:style w:type="character" w:styleId="ListLabel6">
    <w:name w:val="ListLabel 6"/>
    <w:qFormat/>
    <w:rPr>
      <w:rFonts w:cs="Wingdings"/>
      <w:sz w:val="24"/>
      <w:szCs w:val="24"/>
    </w:rPr>
  </w:style>
  <w:style w:type="character" w:styleId="ListLabel7">
    <w:name w:val="ListLabel 7"/>
    <w:qFormat/>
    <w:rPr>
      <w:rFonts w:cs="Symbol"/>
      <w:sz w:val="24"/>
      <w:szCs w:val="24"/>
    </w:rPr>
  </w:style>
  <w:style w:type="character" w:styleId="ListLabel8">
    <w:name w:val="ListLabel 8"/>
    <w:qFormat/>
    <w:rPr>
      <w:rFonts w:cs="Courier New"/>
      <w:sz w:val="24"/>
      <w:szCs w:val="24"/>
    </w:rPr>
  </w:style>
  <w:style w:type="character" w:styleId="ListLabel9">
    <w:name w:val="ListLabel 9"/>
    <w:qFormat/>
    <w:rPr>
      <w:rFonts w:cs="Wingdings"/>
      <w:sz w:val="24"/>
      <w:szCs w:val="24"/>
    </w:rPr>
  </w:style>
  <w:style w:type="character" w:styleId="ListLabel10">
    <w:name w:val="ListLabel 10"/>
    <w:qFormat/>
    <w:rPr>
      <w:rFonts w:cs="Symbol"/>
      <w:sz w:val="24"/>
      <w:szCs w:val="24"/>
    </w:rPr>
  </w:style>
  <w:style w:type="character" w:styleId="ListLabel11">
    <w:name w:val="ListLabel 11"/>
    <w:qFormat/>
    <w:rPr>
      <w:rFonts w:cs="Courier New"/>
      <w:sz w:val="24"/>
      <w:szCs w:val="24"/>
    </w:rPr>
  </w:style>
  <w:style w:type="character" w:styleId="ListLabel12">
    <w:name w:val="ListLabel 12"/>
    <w:qFormat/>
    <w:rPr>
      <w:rFonts w:cs="Wingdings"/>
      <w:sz w:val="24"/>
      <w:szCs w:val="24"/>
    </w:rPr>
  </w:style>
  <w:style w:type="character" w:styleId="ListLabel13">
    <w:name w:val="ListLabel 13"/>
    <w:qFormat/>
    <w:rPr>
      <w:rFonts w:cs="Symbol"/>
      <w:sz w:val="24"/>
      <w:szCs w:val="24"/>
    </w:rPr>
  </w:style>
  <w:style w:type="character" w:styleId="ListLabel14">
    <w:name w:val="ListLabel 14"/>
    <w:qFormat/>
    <w:rPr>
      <w:rFonts w:cs="Courier New"/>
      <w:sz w:val="24"/>
      <w:szCs w:val="24"/>
    </w:rPr>
  </w:style>
  <w:style w:type="character" w:styleId="ListLabel15">
    <w:name w:val="ListLabel 15"/>
    <w:qFormat/>
    <w:rPr>
      <w:rFonts w:cs="Wingdings"/>
      <w:sz w:val="24"/>
      <w:szCs w:val="24"/>
    </w:rPr>
  </w:style>
  <w:style w:type="character" w:styleId="ListLabel16">
    <w:name w:val="ListLabel 16"/>
    <w:qFormat/>
    <w:rPr>
      <w:rFonts w:cs="Symbol"/>
      <w:sz w:val="24"/>
      <w:szCs w:val="24"/>
    </w:rPr>
  </w:style>
  <w:style w:type="character" w:styleId="ListLabel17">
    <w:name w:val="ListLabel 17"/>
    <w:qFormat/>
    <w:rPr>
      <w:rFonts w:cs="Courier New"/>
      <w:sz w:val="24"/>
      <w:szCs w:val="24"/>
    </w:rPr>
  </w:style>
  <w:style w:type="character" w:styleId="ListLabel18">
    <w:name w:val="ListLabel 18"/>
    <w:qFormat/>
    <w:rPr>
      <w:rFonts w:cs="Wingdings"/>
      <w:sz w:val="24"/>
      <w:szCs w:val="24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Times New Roman" w:hAnsi="Times New Roman"/>
      <w:b/>
      <w:sz w:val="24"/>
    </w:rPr>
  </w:style>
  <w:style w:type="character" w:styleId="ListLabel50">
    <w:name w:val="ListLabel 50"/>
    <w:qFormat/>
    <w:rPr>
      <w:rFonts w:ascii="Times New Roman" w:hAnsi="Times New Roman"/>
      <w:b w:val="false"/>
      <w:sz w:val="24"/>
    </w:rPr>
  </w:style>
  <w:style w:type="character" w:styleId="ListLabel51">
    <w:name w:val="ListLabel 51"/>
    <w:qFormat/>
    <w:rPr>
      <w:rFonts w:ascii="Times New Roman" w:hAnsi="Times New Roman"/>
      <w:b/>
      <w:sz w:val="24"/>
    </w:rPr>
  </w:style>
  <w:style w:type="character" w:styleId="ListLabel52">
    <w:name w:val="ListLabel 52"/>
    <w:qFormat/>
    <w:rPr>
      <w:rFonts w:ascii="Times New Roman" w:hAnsi="Times New Roman"/>
      <w:b/>
      <w:sz w:val="24"/>
    </w:rPr>
  </w:style>
  <w:style w:type="character" w:styleId="ListLabel53">
    <w:name w:val="ListLabel 53"/>
    <w:qFormat/>
    <w:rPr>
      <w:rFonts w:ascii="Times New Roman" w:hAnsi="Times New Roman"/>
      <w:b/>
      <w:sz w:val="24"/>
    </w:rPr>
  </w:style>
  <w:style w:type="character" w:styleId="ListLabel54">
    <w:name w:val="ListLabel 54"/>
    <w:qFormat/>
    <w:rPr>
      <w:rFonts w:ascii="Times New Roman" w:hAnsi="Times New Roman"/>
      <w:b/>
      <w:sz w:val="24"/>
    </w:rPr>
  </w:style>
  <w:style w:type="character" w:styleId="ListLabel55">
    <w:name w:val="ListLabel 55"/>
    <w:qFormat/>
    <w:rPr>
      <w:b w:val="false"/>
    </w:rPr>
  </w:style>
  <w:style w:type="character" w:styleId="ListLabel56">
    <w:name w:val="ListLabel 56"/>
    <w:qFormat/>
    <w:rPr>
      <w:rFonts w:ascii="Times New Roman" w:hAnsi="Times New Roman"/>
      <w:b/>
      <w:sz w:val="24"/>
    </w:rPr>
  </w:style>
  <w:style w:type="character" w:styleId="ListLabel57">
    <w:name w:val="ListLabel 57"/>
    <w:qFormat/>
    <w:rPr>
      <w:i w:val="false"/>
    </w:rPr>
  </w:style>
  <w:style w:type="character" w:styleId="ListLabel58">
    <w:name w:val="ListLabel 58"/>
    <w:qFormat/>
    <w:rPr>
      <w:rFonts w:ascii="Times New Roman" w:hAnsi="Times New Roman"/>
      <w:sz w:val="24"/>
    </w:rPr>
  </w:style>
  <w:style w:type="character" w:styleId="ListLabel59">
    <w:name w:val="ListLabel 59"/>
    <w:qFormat/>
    <w:rPr>
      <w:rFonts w:cs="Times New Roman"/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link w:val="a5"/>
    <w:rsid w:val="0087004c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27e3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(2)1"/>
    <w:basedOn w:val="Normal"/>
    <w:link w:val="21"/>
    <w:qFormat/>
    <w:rsid w:val="0087004c"/>
    <w:pPr>
      <w:shd w:val="clear" w:color="auto" w:fill="FFFFFF"/>
      <w:spacing w:lineRule="atLeast" w:line="240" w:before="0" w:after="0"/>
    </w:pPr>
    <w:rPr>
      <w:rFonts w:ascii="Century Schoolbook" w:hAnsi="Century Schoolbook" w:eastAsia="Times New Roman"/>
      <w:i/>
      <w:iCs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7004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Caption">
    <w:name w:val="caption"/>
    <w:basedOn w:val="Normal"/>
    <w:uiPriority w:val="35"/>
    <w:semiHidden/>
    <w:unhideWhenUsed/>
    <w:qFormat/>
    <w:rsid w:val="00f27e3e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17">
    <w:name w:val="Title"/>
    <w:basedOn w:val="Normal"/>
    <w:link w:val="ab"/>
    <w:uiPriority w:val="10"/>
    <w:qFormat/>
    <w:rsid w:val="00f27e3e"/>
    <w:pPr>
      <w:pBdr>
        <w:bottom w:val="single" w:sz="8" w:space="4" w:color="4F81BD"/>
      </w:pBdr>
      <w:spacing w:lineRule="auto" w:line="240" w:before="0" w:after="300"/>
      <w:contextualSpacing/>
    </w:pPr>
    <w:rPr>
      <w:rFonts w:ascii="Rockwell" w:hAnsi="Rockwell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tyle18">
    <w:name w:val="Subtitle"/>
    <w:basedOn w:val="Normal"/>
    <w:link w:val="ad"/>
    <w:uiPriority w:val="11"/>
    <w:qFormat/>
    <w:rsid w:val="00f27e3e"/>
    <w:pPr/>
    <w:rPr>
      <w:rFonts w:ascii="Rockwell" w:hAnsi="Rockwell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f27e3e"/>
    <w:pPr>
      <w:widowControl/>
      <w:bidi w:val="0"/>
      <w:spacing w:lineRule="auto" w:line="240" w:before="0" w:after="0"/>
      <w:jc w:val="left"/>
    </w:pPr>
    <w:rPr>
      <w:rFonts w:ascii="Rockwell" w:hAnsi="Rockwell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Quote">
    <w:name w:val="Quote"/>
    <w:basedOn w:val="Normal"/>
    <w:link w:val="25"/>
    <w:uiPriority w:val="29"/>
    <w:qFormat/>
    <w:rsid w:val="00f27e3e"/>
    <w:pPr/>
    <w:rPr>
      <w:i/>
      <w:iCs/>
      <w:color w:val="000000" w:themeColor="text1"/>
    </w:rPr>
  </w:style>
  <w:style w:type="paragraph" w:styleId="IntenseQuote">
    <w:name w:val="Intense Quote"/>
    <w:basedOn w:val="Normal"/>
    <w:link w:val="af0"/>
    <w:uiPriority w:val="30"/>
    <w:qFormat/>
    <w:rsid w:val="00f27e3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uiPriority w:val="39"/>
    <w:semiHidden/>
    <w:unhideWhenUsed/>
    <w:qFormat/>
    <w:rsid w:val="00f27e3e"/>
    <w:pPr/>
    <w:rPr/>
  </w:style>
  <w:style w:type="paragraph" w:styleId="BalloonText">
    <w:name w:val="Balloon Text"/>
    <w:basedOn w:val="Normal"/>
    <w:link w:val="af9"/>
    <w:qFormat/>
    <w:rsid w:val="00a02b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mnojenie.narod.ru/" TargetMode="External"/><Relationship Id="rId3" Type="http://schemas.openxmlformats.org/officeDocument/2006/relationships/hyperlink" Target="http://comp-science.narod.ru/" TargetMode="External"/><Relationship Id="rId4" Type="http://schemas.openxmlformats.org/officeDocument/2006/relationships/hyperlink" Target="http://www.school.mos.ru/" TargetMode="External"/><Relationship Id="rId5" Type="http://schemas.openxmlformats.org/officeDocument/2006/relationships/hyperlink" Target="http://www.history.ru/freemath.htm" TargetMode="External"/><Relationship Id="rId6" Type="http://schemas.openxmlformats.org/officeDocument/2006/relationships/hyperlink" Target="http://mathem.by.ru/index.html" TargetMode="External"/><Relationship Id="rId7" Type="http://schemas.openxmlformats.org/officeDocument/2006/relationships/hyperlink" Target="http://comp-science.narod.ru/" TargetMode="External"/><Relationship Id="rId8" Type="http://schemas.openxmlformats.org/officeDocument/2006/relationships/hyperlink" Target="http://matematika.agava.ru/" TargetMode="External"/><Relationship Id="rId9" Type="http://schemas.openxmlformats.org/officeDocument/2006/relationships/hyperlink" Target="http://center.fio.ru/som/subject.asp?id=10000191" TargetMode="External"/><Relationship Id="rId10" Type="http://schemas.openxmlformats.org/officeDocument/2006/relationships/hyperlink" Target="http://refportal.ru/mathemaics/" TargetMode="External"/><Relationship Id="rId11" Type="http://schemas.openxmlformats.org/officeDocument/2006/relationships/hyperlink" Target="http://www.otbet.ru/&#1054;&#1096;&#1080;&#1073;&#1082;&#1072;" TargetMode="External"/><Relationship Id="rId12" Type="http://schemas.openxmlformats.org/officeDocument/2006/relationships/hyperlink" Target="http://uztest.ru/logout" TargetMode="External"/><Relationship Id="rId13" Type="http://schemas.openxmlformats.org/officeDocument/2006/relationships/hyperlink" Target="file:///C:\Users\user\Desktop\&#1056;&#1072;&#1073;&#1086;&#1095;&#1080;&#1077; &#1087;&#1088;&#1086;&#1075;&#1088;&#1072;&#1084;&#1099; &#1080; &#1050;&#1058;&#1055;\&#8226;%09http:\ege-online-test.ru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F69E5-38C0-4205-9B5A-010DE153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LibreOffice/5.2.3.3$Windows_x86 LibreOffice_project/d54a8868f08a7b39642414cf2c8ef2f228f780cf</Application>
  <Pages>22</Pages>
  <Words>5301</Words>
  <Characters>38287</Characters>
  <CharactersWithSpaces>43458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2015-09-09T18:39:00Z</dcterms:created>
  <dc:creator>Дом</dc:creator>
  <dc:description/>
  <dc:language>ru-RU</dc:language>
  <cp:lastModifiedBy/>
  <cp:lastPrinted>2017-09-13T08:58:50Z</cp:lastPrinted>
  <dcterms:modified xsi:type="dcterms:W3CDTF">2017-09-13T08:59:42Z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